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302E9DF" w:rsidR="0012209D" w:rsidRPr="00447FD8" w:rsidRDefault="002B1370" w:rsidP="00AB3ACB">
            <w:pPr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="00D32BE7">
              <w:rPr>
                <w:b/>
                <w:bCs/>
              </w:rPr>
              <w:t xml:space="preserve"> </w:t>
            </w:r>
            <w:r w:rsidR="00AB3ACB">
              <w:rPr>
                <w:b/>
                <w:bCs/>
              </w:rPr>
              <w:t>Enterprise</w:t>
            </w:r>
            <w:r w:rsidR="001054C3">
              <w:rPr>
                <w:b/>
                <w:bCs/>
              </w:rPr>
              <w:t xml:space="preserve"> Fellow</w:t>
            </w:r>
            <w:r w:rsidR="004F49E1">
              <w:rPr>
                <w:b/>
                <w:bCs/>
              </w:rPr>
              <w:t>, Future Worlds</w:t>
            </w:r>
          </w:p>
        </w:tc>
      </w:tr>
      <w:tr w:rsidR="00D32996" w14:paraId="2BAAC66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BE5BC60" w14:textId="0B8B846A" w:rsidR="00D32996" w:rsidRPr="00BC42F8" w:rsidRDefault="00D32996" w:rsidP="00321CAA">
            <w:pPr>
              <w:rPr>
                <w:lang w:val="fr-FR"/>
              </w:rPr>
            </w:pPr>
            <w:r w:rsidRPr="00BC42F8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3778ADA8" w14:textId="4CCBE916" w:rsidR="00D850FB" w:rsidRDefault="00C6227D" w:rsidP="00321CAA">
            <w:r w:rsidRPr="00C6227D">
              <w:t xml:space="preserve">2434/99 Business and related research professionals </w:t>
            </w:r>
            <w:proofErr w:type="spellStart"/>
            <w:r w:rsidRPr="00C6227D">
              <w:t>n.e.c.</w:t>
            </w:r>
            <w:proofErr w:type="spellEnd"/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92CC01D" w:rsidR="0012209D" w:rsidRDefault="00D644CC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59E45A1" w:rsidR="0012209D" w:rsidRDefault="004F49E1" w:rsidP="00321CAA">
            <w:r>
              <w:t>Future Worlds, Electronics and Computer Science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1BC29287" w:rsidR="00746AEB" w:rsidRDefault="004F49E1" w:rsidP="00321CAA">
            <w:r>
              <w:t>Faculty of Engineering and Physical 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2A59636E" w:rsidR="0012209D" w:rsidRDefault="00E558EC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7E747F72" w:rsidR="0012209D" w:rsidRDefault="002B1370" w:rsidP="00321CAA">
            <w:r>
              <w:t>6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B160849" w:rsidR="0012209D" w:rsidRDefault="00AB3ACB" w:rsidP="00171F75">
            <w:r>
              <w:t>Enterprise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5999FAB" w:rsidR="0012209D" w:rsidRPr="005508A2" w:rsidRDefault="00A43F55" w:rsidP="00321CAA">
            <w:r>
              <w:t>Future Worlds Director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E4524FF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288BCA55" w14:textId="01DB33BF" w:rsidR="001C522D" w:rsidRDefault="00700A58" w:rsidP="003033C5">
            <w:pPr>
              <w:spacing w:after="120"/>
            </w:pPr>
            <w:r>
              <w:t xml:space="preserve">The </w:t>
            </w:r>
            <w:r w:rsidR="00506DDF">
              <w:t xml:space="preserve">purpose of the </w:t>
            </w:r>
            <w:r>
              <w:t xml:space="preserve">role </w:t>
            </w:r>
            <w:r w:rsidR="00506DDF">
              <w:t>is to</w:t>
            </w:r>
            <w:r w:rsidR="00506DDF">
              <w:t xml:space="preserve"> </w:t>
            </w:r>
            <w:r>
              <w:t xml:space="preserve">take the lead in driving </w:t>
            </w:r>
            <w:r w:rsidR="008B59D6">
              <w:t xml:space="preserve">strategic </w:t>
            </w:r>
            <w:r w:rsidR="00F52E34">
              <w:t xml:space="preserve">business growth </w:t>
            </w:r>
            <w:r w:rsidR="009E6378">
              <w:t xml:space="preserve">and income generation </w:t>
            </w:r>
            <w:r w:rsidR="00F52E34">
              <w:t>for Future Worlds</w:t>
            </w:r>
            <w:r w:rsidR="00171BFA">
              <w:t xml:space="preserve">, </w:t>
            </w:r>
            <w:r w:rsidR="00B93A21" w:rsidRPr="00B93A21">
              <w:t>attracting external funding to grow and develop major new and existing enterprise activities</w:t>
            </w:r>
            <w:r w:rsidR="00772221">
              <w:t>,</w:t>
            </w:r>
            <w:r w:rsidR="00171BFA">
              <w:t xml:space="preserve"> and </w:t>
            </w:r>
            <w:r w:rsidR="00772221">
              <w:t xml:space="preserve">to </w:t>
            </w:r>
            <w:r w:rsidR="00171BFA">
              <w:t>undertak</w:t>
            </w:r>
            <w:r w:rsidR="00772221">
              <w:t>e</w:t>
            </w:r>
            <w:r w:rsidR="00171BFA">
              <w:t xml:space="preserve"> leadership, management and engagement responsibilities.</w:t>
            </w:r>
          </w:p>
          <w:p w14:paraId="15BF088B" w14:textId="4DDE8AE9" w:rsidR="0012209D" w:rsidRDefault="001C522D" w:rsidP="003033C5">
            <w:pPr>
              <w:spacing w:after="120"/>
            </w:pPr>
            <w:r>
              <w:t>L</w:t>
            </w:r>
            <w:r w:rsidR="00703D02">
              <w:t xml:space="preserve">everaging the track record of Future Worlds, </w:t>
            </w:r>
            <w:r w:rsidR="00D35211">
              <w:t xml:space="preserve">the </w:t>
            </w:r>
            <w:r w:rsidR="003907C1">
              <w:t xml:space="preserve">research and education strengths across the Faculty, and </w:t>
            </w:r>
            <w:r w:rsidR="00703D02">
              <w:t>the expertise of colleagues</w:t>
            </w:r>
            <w:r w:rsidR="00D35211">
              <w:t xml:space="preserve">, </w:t>
            </w:r>
            <w:r w:rsidR="003907C1">
              <w:t xml:space="preserve">the role holder will </w:t>
            </w:r>
            <w:r w:rsidR="003728CC">
              <w:t>find</w:t>
            </w:r>
            <w:r>
              <w:t xml:space="preserve">, </w:t>
            </w:r>
            <w:r w:rsidR="003907C1">
              <w:t>co-create</w:t>
            </w:r>
            <w:r>
              <w:t xml:space="preserve">, and </w:t>
            </w:r>
            <w:r w:rsidR="00DD68C7">
              <w:t>secure</w:t>
            </w:r>
            <w:r>
              <w:t xml:space="preserve"> </w:t>
            </w:r>
            <w:r w:rsidR="00E72008">
              <w:t>major new enterprise activities and funding streams for Future Worlds</w:t>
            </w:r>
            <w:r w:rsidR="00DD68C7">
              <w:t xml:space="preserve"> and </w:t>
            </w:r>
            <w:r w:rsidR="008B1EF5">
              <w:t xml:space="preserve">the Schools </w:t>
            </w:r>
            <w:r w:rsidR="00F24B5E">
              <w:t>across</w:t>
            </w:r>
            <w:r w:rsidR="008B1EF5">
              <w:t xml:space="preserve"> the Faculty.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689" w:type="dxa"/>
        <w:tblLook w:val="04A0" w:firstRow="1" w:lastRow="0" w:firstColumn="1" w:lastColumn="0" w:noHBand="0" w:noVBand="1"/>
      </w:tblPr>
      <w:tblGrid>
        <w:gridCol w:w="603"/>
        <w:gridCol w:w="8082"/>
        <w:gridCol w:w="1004"/>
      </w:tblGrid>
      <w:tr w:rsidR="00CD0FDF" w14:paraId="15BF0890" w14:textId="77777777" w:rsidTr="0050181D">
        <w:trPr>
          <w:cantSplit/>
          <w:trHeight w:val="623"/>
          <w:tblHeader/>
        </w:trPr>
        <w:tc>
          <w:tcPr>
            <w:tcW w:w="8685" w:type="dxa"/>
            <w:gridSpan w:val="2"/>
            <w:shd w:val="clear" w:color="auto" w:fill="D9D9D9" w:themeFill="background1" w:themeFillShade="D9"/>
          </w:tcPr>
          <w:p w14:paraId="15BF088E" w14:textId="77777777" w:rsidR="00CD0FDF" w:rsidRDefault="00CD0FDF" w:rsidP="00321CAA">
            <w:r>
              <w:t>Key accountabilities/primary responsibilities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4BB67739" w14:textId="3E67BE06" w:rsidR="00CD0FDF" w:rsidRDefault="00CD0FDF" w:rsidP="00321CAA">
            <w:r>
              <w:t>% Time</w:t>
            </w:r>
          </w:p>
        </w:tc>
      </w:tr>
      <w:tr w:rsidR="00CD0FDF" w14:paraId="2A50BE93" w14:textId="77777777" w:rsidTr="0050181D">
        <w:trPr>
          <w:cantSplit/>
          <w:trHeight w:val="2268"/>
        </w:trPr>
        <w:tc>
          <w:tcPr>
            <w:tcW w:w="603" w:type="dxa"/>
            <w:tcBorders>
              <w:right w:val="nil"/>
            </w:tcBorders>
          </w:tcPr>
          <w:p w14:paraId="2E8F697E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4ECED1ED" w14:textId="11A049C9" w:rsidR="00CD0FDF" w:rsidRPr="006C5E3F" w:rsidRDefault="00AC02E6" w:rsidP="007600BF">
            <w:r>
              <w:t>Take the lead role in</w:t>
            </w:r>
            <w:r w:rsidR="00CD0FDF" w:rsidRPr="006C5E3F">
              <w:t xml:space="preserve"> income generation </w:t>
            </w:r>
            <w:r w:rsidR="00CD0FDF">
              <w:t>for Future Worlds</w:t>
            </w:r>
            <w:r w:rsidR="008B2A8C">
              <w:t>:</w:t>
            </w:r>
            <w:r w:rsidR="00CD0FDF" w:rsidRPr="006C5E3F">
              <w:t xml:space="preserve"> </w:t>
            </w:r>
            <w:r w:rsidR="00E92C10" w:rsidRPr="00B93A21">
              <w:t>attracting external funding to grow and develop major new and existing enterprise activities</w:t>
            </w:r>
            <w:r w:rsidR="00E92C10">
              <w:t>,</w:t>
            </w:r>
            <w:r w:rsidR="00CD0FDF" w:rsidRPr="006C5E3F">
              <w:t xml:space="preserve"> generating new income streams</w:t>
            </w:r>
            <w:r w:rsidR="00CD0FDF">
              <w:t xml:space="preserve"> for Future Worlds</w:t>
            </w:r>
            <w:r w:rsidR="00F40C0D">
              <w:t xml:space="preserve"> </w:t>
            </w:r>
            <w:r w:rsidR="00CD0FDF" w:rsidRPr="006C5E3F">
              <w:t xml:space="preserve">and </w:t>
            </w:r>
            <w:r w:rsidR="00CD0FDF">
              <w:t xml:space="preserve">enhancing </w:t>
            </w:r>
            <w:r>
              <w:t xml:space="preserve">the </w:t>
            </w:r>
            <w:r w:rsidR="00CD0FDF" w:rsidRPr="006C5E3F">
              <w:t xml:space="preserve">reputation </w:t>
            </w:r>
            <w:r>
              <w:t xml:space="preserve">gained </w:t>
            </w:r>
            <w:r w:rsidR="00CD0FDF" w:rsidRPr="006C5E3F">
              <w:t xml:space="preserve">from </w:t>
            </w:r>
            <w:r w:rsidR="00CD0FDF">
              <w:t>Future Worlds</w:t>
            </w:r>
            <w:r w:rsidR="00CD0FDF" w:rsidRPr="006C5E3F">
              <w:t xml:space="preserve"> activities; </w:t>
            </w:r>
            <w:r w:rsidR="00CD0FDF">
              <w:t xml:space="preserve">including supporting the </w:t>
            </w:r>
            <w:r w:rsidR="00CD0FDF" w:rsidRPr="006C5E3F">
              <w:t>develop</w:t>
            </w:r>
            <w:r w:rsidR="00CD0FDF">
              <w:t>ment of</w:t>
            </w:r>
            <w:r w:rsidR="00CD0FDF" w:rsidRPr="006C5E3F">
              <w:t xml:space="preserve"> spin out companies</w:t>
            </w:r>
            <w:r w:rsidR="008B2A8C">
              <w:t>.</w:t>
            </w:r>
          </w:p>
        </w:tc>
        <w:tc>
          <w:tcPr>
            <w:tcW w:w="1004" w:type="dxa"/>
          </w:tcPr>
          <w:p w14:paraId="0EFD599F" w14:textId="4D3B4F07" w:rsidR="00CD0FDF" w:rsidRDefault="00E51BC1" w:rsidP="007600BF">
            <w:r>
              <w:t>3</w:t>
            </w:r>
            <w:r w:rsidR="00CD0FDF">
              <w:t>0%</w:t>
            </w:r>
          </w:p>
        </w:tc>
      </w:tr>
      <w:tr w:rsidR="00CD0FDF" w14:paraId="627C9B89" w14:textId="77777777" w:rsidTr="0050181D">
        <w:trPr>
          <w:cantSplit/>
          <w:trHeight w:val="1310"/>
        </w:trPr>
        <w:tc>
          <w:tcPr>
            <w:tcW w:w="603" w:type="dxa"/>
            <w:tcBorders>
              <w:right w:val="nil"/>
            </w:tcBorders>
          </w:tcPr>
          <w:p w14:paraId="12E6128A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1F61FC9F" w14:textId="6D82AF1F" w:rsidR="00CD0FDF" w:rsidRPr="006C5E3F" w:rsidRDefault="00CD0FDF" w:rsidP="007600BF">
            <w:r w:rsidRPr="006C5E3F">
              <w:t xml:space="preserve">Take a lead role in </w:t>
            </w:r>
            <w:r w:rsidR="00D71AE7">
              <w:t>building strategic relationships</w:t>
            </w:r>
            <w:r w:rsidR="00D71AE7" w:rsidRPr="00D71AE7">
              <w:t xml:space="preserve"> </w:t>
            </w:r>
            <w:r w:rsidR="00B74ECC">
              <w:t xml:space="preserve">at a senior level </w:t>
            </w:r>
            <w:r w:rsidR="00D71AE7" w:rsidRPr="00D71AE7">
              <w:t>externally with funding bodies, collaborators and partners, and internally with staff, academics and researchers</w:t>
            </w:r>
            <w:r w:rsidR="00D71AE7" w:rsidRPr="00D71AE7" w:rsidDel="00F40C0D">
              <w:t xml:space="preserve"> </w:t>
            </w:r>
            <w:r w:rsidR="00D71AE7">
              <w:t>to find</w:t>
            </w:r>
            <w:r w:rsidR="00F40C0D">
              <w:t>, co-creat</w:t>
            </w:r>
            <w:r w:rsidR="00D71AE7">
              <w:t>e</w:t>
            </w:r>
            <w:r>
              <w:t xml:space="preserve">, </w:t>
            </w:r>
            <w:r w:rsidR="00F40C0D">
              <w:t>secur</w:t>
            </w:r>
            <w:r w:rsidR="00D71AE7">
              <w:t>e</w:t>
            </w:r>
            <w:r w:rsidR="00F40C0D">
              <w:t xml:space="preserve"> and manag</w:t>
            </w:r>
            <w:r w:rsidR="00D71AE7">
              <w:t>e</w:t>
            </w:r>
            <w:r w:rsidRPr="006C5E3F">
              <w:t xml:space="preserve"> </w:t>
            </w:r>
            <w:r>
              <w:t xml:space="preserve">a </w:t>
            </w:r>
            <w:r w:rsidRPr="006C5E3F">
              <w:t xml:space="preserve">significant </w:t>
            </w:r>
            <w:r>
              <w:t>range</w:t>
            </w:r>
            <w:r w:rsidR="00F40C0D">
              <w:t xml:space="preserve"> of major, ne</w:t>
            </w:r>
            <w:r w:rsidR="00821A12">
              <w:t>w enterprise activities and funding streams for Future Worlds</w:t>
            </w:r>
            <w:r>
              <w:t xml:space="preserve"> </w:t>
            </w:r>
            <w:r w:rsidR="00821A12">
              <w:t>and the Schools across the Faculty</w:t>
            </w:r>
            <w:r w:rsidR="00B74ECC">
              <w:t>.</w:t>
            </w:r>
          </w:p>
        </w:tc>
        <w:tc>
          <w:tcPr>
            <w:tcW w:w="1004" w:type="dxa"/>
          </w:tcPr>
          <w:p w14:paraId="1C214985" w14:textId="16A8E0D8" w:rsidR="00CD0FDF" w:rsidRDefault="000A2338" w:rsidP="007600BF">
            <w:r>
              <w:t>25</w:t>
            </w:r>
            <w:r w:rsidR="00CD0FDF">
              <w:t>%</w:t>
            </w:r>
          </w:p>
        </w:tc>
      </w:tr>
      <w:tr w:rsidR="00CD0FDF" w14:paraId="212789FF" w14:textId="77777777" w:rsidTr="0050181D">
        <w:trPr>
          <w:cantSplit/>
          <w:trHeight w:val="862"/>
        </w:trPr>
        <w:tc>
          <w:tcPr>
            <w:tcW w:w="603" w:type="dxa"/>
            <w:tcBorders>
              <w:right w:val="nil"/>
            </w:tcBorders>
          </w:tcPr>
          <w:p w14:paraId="6E1E8454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23C78613" w14:textId="50A7C3EC" w:rsidR="00CD0FDF" w:rsidRPr="006C5E3F" w:rsidRDefault="00CD0FDF" w:rsidP="007600BF">
            <w:r>
              <w:t>Define, n</w:t>
            </w:r>
            <w:r w:rsidRPr="006C5E3F">
              <w:t>egotiat</w:t>
            </w:r>
            <w:r>
              <w:t>e and secure</w:t>
            </w:r>
            <w:r w:rsidRPr="006C5E3F">
              <w:t xml:space="preserve"> projects and programmes of work with </w:t>
            </w:r>
            <w:r>
              <w:t>internal and external stakeholders</w:t>
            </w:r>
            <w:r w:rsidRPr="006C5E3F">
              <w:t>, liaising with senior management</w:t>
            </w:r>
            <w:r>
              <w:t xml:space="preserve"> to align priorities and outcomes between Future Worlds and other stakeholders.</w:t>
            </w:r>
          </w:p>
        </w:tc>
        <w:tc>
          <w:tcPr>
            <w:tcW w:w="1004" w:type="dxa"/>
          </w:tcPr>
          <w:p w14:paraId="728216E9" w14:textId="67C688F2" w:rsidR="00CD0FDF" w:rsidRDefault="00CD0FDF" w:rsidP="007600BF">
            <w:r>
              <w:t>1</w:t>
            </w:r>
            <w:r w:rsidR="000A2338">
              <w:t>5</w:t>
            </w:r>
            <w:r>
              <w:t>%</w:t>
            </w:r>
          </w:p>
        </w:tc>
      </w:tr>
      <w:tr w:rsidR="00CD0FDF" w14:paraId="15BF089C" w14:textId="77777777" w:rsidTr="0050181D">
        <w:trPr>
          <w:cantSplit/>
          <w:trHeight w:val="1012"/>
        </w:trPr>
        <w:tc>
          <w:tcPr>
            <w:tcW w:w="603" w:type="dxa"/>
            <w:tcBorders>
              <w:right w:val="nil"/>
            </w:tcBorders>
          </w:tcPr>
          <w:p w14:paraId="15BF0899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15BF089A" w14:textId="32B4886D" w:rsidR="00CD0FDF" w:rsidRDefault="00CD0FDF" w:rsidP="007600BF">
            <w:r w:rsidRPr="006C5E3F">
              <w:t>Contribut</w:t>
            </w:r>
            <w:r>
              <w:t>e</w:t>
            </w:r>
            <w:r w:rsidRPr="006C5E3F">
              <w:t xml:space="preserve"> to developing innovative approaches to enterprise activity which advance techniques and standards and serve as a contribution to broader debate. May lead on the introduction of new innovative practice in enterprise across the wider </w:t>
            </w:r>
            <w:r>
              <w:t>School/Department</w:t>
            </w:r>
            <w:r w:rsidRPr="006C5E3F">
              <w:t>, Faculty, or University.</w:t>
            </w:r>
          </w:p>
        </w:tc>
        <w:tc>
          <w:tcPr>
            <w:tcW w:w="1004" w:type="dxa"/>
          </w:tcPr>
          <w:p w14:paraId="711AC7F6" w14:textId="55D98BBB" w:rsidR="00CD0FDF" w:rsidRDefault="00CD0FDF" w:rsidP="007600BF">
            <w:r>
              <w:t>10%</w:t>
            </w:r>
          </w:p>
        </w:tc>
      </w:tr>
      <w:tr w:rsidR="00CD0FDF" w14:paraId="15BF08AC" w14:textId="77777777" w:rsidTr="0050181D">
        <w:trPr>
          <w:cantSplit/>
          <w:trHeight w:val="623"/>
        </w:trPr>
        <w:tc>
          <w:tcPr>
            <w:tcW w:w="603" w:type="dxa"/>
            <w:tcBorders>
              <w:right w:val="nil"/>
            </w:tcBorders>
          </w:tcPr>
          <w:p w14:paraId="15BF08A9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15BF08AA" w14:textId="2856E91C" w:rsidR="00CD0FDF" w:rsidRPr="00447FD8" w:rsidRDefault="00CD0FDF" w:rsidP="007600BF">
            <w:r w:rsidRPr="006C5E3F">
              <w:t xml:space="preserve">Contribute to business planning of </w:t>
            </w:r>
            <w:r>
              <w:t>Future Worlds</w:t>
            </w:r>
            <w:r w:rsidRPr="006C5E3F">
              <w:t xml:space="preserve"> activities</w:t>
            </w:r>
            <w:r>
              <w:t>.</w:t>
            </w:r>
          </w:p>
        </w:tc>
        <w:tc>
          <w:tcPr>
            <w:tcW w:w="1004" w:type="dxa"/>
            <w:vMerge w:val="restart"/>
          </w:tcPr>
          <w:p w14:paraId="6C6178FE" w14:textId="5B6B6EF3" w:rsidR="00CD0FDF" w:rsidRDefault="00CD0FDF" w:rsidP="007600BF">
            <w:r>
              <w:t>20%</w:t>
            </w:r>
          </w:p>
        </w:tc>
      </w:tr>
      <w:tr w:rsidR="00CD0FDF" w14:paraId="68D71060" w14:textId="77777777" w:rsidTr="0050181D">
        <w:trPr>
          <w:cantSplit/>
          <w:trHeight w:val="623"/>
        </w:trPr>
        <w:tc>
          <w:tcPr>
            <w:tcW w:w="603" w:type="dxa"/>
            <w:tcBorders>
              <w:right w:val="nil"/>
            </w:tcBorders>
          </w:tcPr>
          <w:p w14:paraId="4FAFF577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2C68A847" w14:textId="7326B4E3" w:rsidR="00CD0FDF" w:rsidRPr="00447FD8" w:rsidRDefault="00CD0FDF" w:rsidP="007600BF">
            <w:r w:rsidRPr="006C5E3F">
              <w:t>Contribute to the development and management of staff and resources.</w:t>
            </w:r>
          </w:p>
        </w:tc>
        <w:tc>
          <w:tcPr>
            <w:tcW w:w="1004" w:type="dxa"/>
            <w:vMerge/>
          </w:tcPr>
          <w:p w14:paraId="239BEB24" w14:textId="77777777" w:rsidR="00CD0FDF" w:rsidRDefault="00CD0FDF" w:rsidP="007600BF"/>
        </w:tc>
      </w:tr>
      <w:tr w:rsidR="00CD0FDF" w14:paraId="2CE6BAAB" w14:textId="77777777" w:rsidTr="0050181D">
        <w:trPr>
          <w:cantSplit/>
          <w:trHeight w:val="1446"/>
        </w:trPr>
        <w:tc>
          <w:tcPr>
            <w:tcW w:w="603" w:type="dxa"/>
            <w:tcBorders>
              <w:right w:val="nil"/>
            </w:tcBorders>
          </w:tcPr>
          <w:p w14:paraId="705E8E0A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767C0185" w14:textId="12EC04C9" w:rsidR="00CD0FDF" w:rsidRPr="00447FD8" w:rsidRDefault="00CD0FDF" w:rsidP="007600BF">
            <w:r w:rsidRPr="006C5E3F">
              <w:t>Represent the University in the subject community externally.</w:t>
            </w:r>
            <w:r>
              <w:t xml:space="preserve"> A</w:t>
            </w:r>
            <w:r w:rsidRPr="006C5E3F">
              <w:t xml:space="preserve">ttend and participate in or chair national or international </w:t>
            </w:r>
            <w:r>
              <w:t>panels</w:t>
            </w:r>
            <w:r w:rsidRPr="006C5E3F">
              <w:t xml:space="preserve"> and working groups, representing the University as a lead expert.</w:t>
            </w:r>
          </w:p>
        </w:tc>
        <w:tc>
          <w:tcPr>
            <w:tcW w:w="1004" w:type="dxa"/>
            <w:vMerge/>
          </w:tcPr>
          <w:p w14:paraId="0985395D" w14:textId="77777777" w:rsidR="00CD0FDF" w:rsidRDefault="00CD0FDF" w:rsidP="007600BF"/>
        </w:tc>
      </w:tr>
      <w:tr w:rsidR="00CD0FDF" w14:paraId="14C1EC06" w14:textId="77777777" w:rsidTr="0050181D">
        <w:trPr>
          <w:cantSplit/>
          <w:trHeight w:val="623"/>
        </w:trPr>
        <w:tc>
          <w:tcPr>
            <w:tcW w:w="603" w:type="dxa"/>
            <w:tcBorders>
              <w:right w:val="nil"/>
            </w:tcBorders>
          </w:tcPr>
          <w:p w14:paraId="6206C9F0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397DECE1" w14:textId="25FFF41B" w:rsidR="00CD0FDF" w:rsidRPr="00447FD8" w:rsidRDefault="00CD0FDF" w:rsidP="007600BF">
            <w:r>
              <w:t>P</w:t>
            </w:r>
            <w:r w:rsidRPr="006C5E3F">
              <w:t>articipate in impact and public engagement activities.</w:t>
            </w:r>
          </w:p>
        </w:tc>
        <w:tc>
          <w:tcPr>
            <w:tcW w:w="1004" w:type="dxa"/>
            <w:vMerge/>
          </w:tcPr>
          <w:p w14:paraId="4199AB8D" w14:textId="77777777" w:rsidR="00CD0FDF" w:rsidRDefault="00CD0FDF" w:rsidP="007600BF"/>
        </w:tc>
      </w:tr>
      <w:tr w:rsidR="00CD0FDF" w14:paraId="02C51BD6" w14:textId="77777777" w:rsidTr="0050181D">
        <w:trPr>
          <w:cantSplit/>
          <w:trHeight w:val="1077"/>
        </w:trPr>
        <w:tc>
          <w:tcPr>
            <w:tcW w:w="603" w:type="dxa"/>
            <w:tcBorders>
              <w:right w:val="nil"/>
            </w:tcBorders>
          </w:tcPr>
          <w:p w14:paraId="6979F6BB" w14:textId="77777777" w:rsidR="00CD0FDF" w:rsidRDefault="00CD0FDF" w:rsidP="007600B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82" w:type="dxa"/>
            <w:tcBorders>
              <w:left w:val="nil"/>
            </w:tcBorders>
          </w:tcPr>
          <w:p w14:paraId="06FB577A" w14:textId="26DA5297" w:rsidR="00CD0FDF" w:rsidRPr="00447FD8" w:rsidRDefault="00CD0FDF" w:rsidP="007600BF">
            <w:r w:rsidRPr="00D116BC">
              <w:t>Any other duties as allocated by the line manager following consultation with the post holder.</w:t>
            </w:r>
          </w:p>
        </w:tc>
        <w:tc>
          <w:tcPr>
            <w:tcW w:w="1004" w:type="dxa"/>
            <w:vMerge/>
          </w:tcPr>
          <w:p w14:paraId="08E94802" w14:textId="77777777" w:rsidR="00CD0FDF" w:rsidRDefault="00CD0FDF" w:rsidP="007600BF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39F5B8E1" w14:textId="77777777" w:rsidR="0012209D" w:rsidRDefault="00AF4D53" w:rsidP="005E43EF">
            <w:pPr>
              <w:pStyle w:val="ListParagraph"/>
              <w:numPr>
                <w:ilvl w:val="0"/>
                <w:numId w:val="19"/>
              </w:numPr>
            </w:pPr>
            <w:r>
              <w:t>Member of the Future Worlds leadership team</w:t>
            </w:r>
          </w:p>
          <w:p w14:paraId="298327B8" w14:textId="77777777" w:rsidR="00AF4D53" w:rsidRDefault="003E6142" w:rsidP="005E43EF">
            <w:pPr>
              <w:pStyle w:val="ListParagraph"/>
              <w:numPr>
                <w:ilvl w:val="0"/>
                <w:numId w:val="19"/>
              </w:numPr>
            </w:pPr>
            <w:r>
              <w:t xml:space="preserve">Member of relevant </w:t>
            </w:r>
            <w:r w:rsidR="00756ED7">
              <w:t>School and Faculty enterprise boards and committees</w:t>
            </w:r>
          </w:p>
          <w:p w14:paraId="2EEBA04F" w14:textId="204C344D" w:rsidR="00407BA2" w:rsidRDefault="002E7943" w:rsidP="005E43EF">
            <w:pPr>
              <w:pStyle w:val="ListParagraph"/>
              <w:numPr>
                <w:ilvl w:val="0"/>
                <w:numId w:val="19"/>
              </w:numPr>
            </w:pPr>
            <w:r>
              <w:t>Enterprise staff across the Faculty and wider University</w:t>
            </w:r>
            <w:r w:rsidR="00A07667">
              <w:t xml:space="preserve">, in particular, </w:t>
            </w:r>
            <w:r w:rsidR="00C616AB">
              <w:t xml:space="preserve">a peer group of </w:t>
            </w:r>
            <w:r w:rsidR="00A07667">
              <w:t>principal enterprise fellows</w:t>
            </w:r>
          </w:p>
          <w:p w14:paraId="187DDDCC" w14:textId="30B6C613" w:rsidR="005E43EF" w:rsidRDefault="005E43EF" w:rsidP="005E43EF">
            <w:pPr>
              <w:pStyle w:val="ListParagraph"/>
              <w:numPr>
                <w:ilvl w:val="0"/>
                <w:numId w:val="19"/>
              </w:numPr>
              <w:spacing w:before="0" w:after="0"/>
            </w:pPr>
            <w:r w:rsidRPr="00C6421C">
              <w:t>External funders relevant t</w:t>
            </w:r>
            <w:r>
              <w:t>o Future Worlds, particularly EPSRC</w:t>
            </w:r>
            <w:r w:rsidR="006A03FB">
              <w:t xml:space="preserve">, </w:t>
            </w:r>
            <w:r>
              <w:t>Innovate UK</w:t>
            </w:r>
            <w:r w:rsidR="006A03FB">
              <w:t xml:space="preserve">, </w:t>
            </w:r>
            <w:r w:rsidR="00D8228E">
              <w:t xml:space="preserve">other Government departments, </w:t>
            </w:r>
            <w:proofErr w:type="spellStart"/>
            <w:r w:rsidR="006A03FB">
              <w:t>RAEng</w:t>
            </w:r>
            <w:proofErr w:type="spellEnd"/>
            <w:r w:rsidR="006A03FB">
              <w:t>, ERA Foundation</w:t>
            </w:r>
          </w:p>
          <w:p w14:paraId="2FB2A537" w14:textId="1D479AEE" w:rsidR="005E43EF" w:rsidRPr="00C6421C" w:rsidRDefault="005E43EF" w:rsidP="005E43EF">
            <w:pPr>
              <w:pStyle w:val="ListParagraph"/>
              <w:numPr>
                <w:ilvl w:val="0"/>
                <w:numId w:val="19"/>
              </w:numPr>
              <w:spacing w:before="0" w:after="0"/>
            </w:pPr>
            <w:r w:rsidRPr="00C6421C">
              <w:t>Professional Services including Research and Innovation Services, Legal, Finance, Research Governance, Planning and Communications</w:t>
            </w:r>
          </w:p>
          <w:p w14:paraId="7378FB1B" w14:textId="77310DC8" w:rsidR="005E43EF" w:rsidRPr="00C37EBB" w:rsidRDefault="005E43EF" w:rsidP="005E43EF">
            <w:pPr>
              <w:pStyle w:val="ListParagraph"/>
              <w:numPr>
                <w:ilvl w:val="0"/>
                <w:numId w:val="19"/>
              </w:numPr>
              <w:spacing w:before="0" w:after="0"/>
            </w:pPr>
            <w:r w:rsidRPr="00C37EBB">
              <w:t xml:space="preserve">Board-level directors and senior managers in </w:t>
            </w:r>
            <w:r w:rsidR="001B4120">
              <w:t>i</w:t>
            </w:r>
            <w:r w:rsidRPr="00C37EBB">
              <w:t>ndustry and other network organisations (e</w:t>
            </w:r>
            <w:r>
              <w:t>.</w:t>
            </w:r>
            <w:r w:rsidRPr="00C37EBB">
              <w:t>g</w:t>
            </w:r>
            <w:r>
              <w:t>.,</w:t>
            </w:r>
            <w:r w:rsidRPr="00C37EBB">
              <w:t xml:space="preserve"> KTNs, Sector Consortia</w:t>
            </w:r>
            <w:r w:rsidR="006236C2">
              <w:t>, Department for Science, Innovation and Technology, Department for Business and Trade</w:t>
            </w:r>
            <w:r w:rsidRPr="00C37EBB">
              <w:t xml:space="preserve">) </w:t>
            </w:r>
          </w:p>
          <w:p w14:paraId="034629A2" w14:textId="2781F563" w:rsidR="005E43EF" w:rsidRPr="00C37EBB" w:rsidRDefault="005E43EF" w:rsidP="005E43EF">
            <w:pPr>
              <w:pStyle w:val="ListParagraph"/>
              <w:numPr>
                <w:ilvl w:val="0"/>
                <w:numId w:val="19"/>
              </w:numPr>
              <w:spacing w:before="0" w:after="0"/>
            </w:pPr>
            <w:r w:rsidRPr="00C37EBB">
              <w:t xml:space="preserve">Senior Managers in </w:t>
            </w:r>
            <w:r w:rsidR="00415E2A">
              <w:t>e</w:t>
            </w:r>
            <w:r w:rsidRPr="00C37EBB">
              <w:t xml:space="preserve">xternal funders relevant to </w:t>
            </w:r>
            <w:r w:rsidR="00490BB8">
              <w:t>Future Worlds</w:t>
            </w:r>
            <w:r w:rsidRPr="00C37EBB">
              <w:t>, to inform and influence future strategy</w:t>
            </w:r>
          </w:p>
          <w:p w14:paraId="35B7D1D7" w14:textId="77777777" w:rsidR="005E43EF" w:rsidRPr="00C37EBB" w:rsidRDefault="005E43EF" w:rsidP="005E43EF">
            <w:pPr>
              <w:pStyle w:val="ListParagraph"/>
              <w:numPr>
                <w:ilvl w:val="0"/>
                <w:numId w:val="19"/>
              </w:numPr>
              <w:spacing w:before="0" w:after="0"/>
            </w:pPr>
            <w:r w:rsidRPr="00C37EBB">
              <w:t>Professional advisers in specialist areas to assist in opportunity evaluation</w:t>
            </w:r>
          </w:p>
          <w:p w14:paraId="7D3D8C82" w14:textId="3B2A5EB9" w:rsidR="005E43EF" w:rsidRDefault="005E43EF" w:rsidP="005E43EF">
            <w:pPr>
              <w:pStyle w:val="ListParagraph"/>
              <w:numPr>
                <w:ilvl w:val="0"/>
                <w:numId w:val="19"/>
              </w:numPr>
              <w:spacing w:before="0" w:after="0"/>
            </w:pPr>
            <w:r>
              <w:t>Senior Professors, Researchers and PhD students at</w:t>
            </w:r>
            <w:r w:rsidR="00490BB8">
              <w:t xml:space="preserve"> Southampton and </w:t>
            </w:r>
            <w:r w:rsidR="00683815">
              <w:t xml:space="preserve">potential </w:t>
            </w:r>
            <w:r>
              <w:t>partner Universities</w:t>
            </w:r>
          </w:p>
          <w:p w14:paraId="15BF08B0" w14:textId="629A144D" w:rsidR="00756ED7" w:rsidRDefault="00756ED7" w:rsidP="000343C6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lastRenderedPageBreak/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460C9DD8" w14:textId="14097C12" w:rsidR="002C50CA" w:rsidRDefault="002C50CA" w:rsidP="002C50CA">
            <w:r>
              <w:t>Travel nationally and internationally to promote, support and develop Future Worlds activities.</w:t>
            </w:r>
          </w:p>
          <w:p w14:paraId="6DA5CA0A" w14:textId="16E87694" w:rsidR="00343D93" w:rsidRDefault="002C50CA" w:rsidP="002C50CA">
            <w:r w:rsidRPr="00747584">
              <w:t>Willingness to work non-standard hours as reasonably required to fulfil role (e.g.</w:t>
            </w:r>
            <w:r>
              <w:t>,</w:t>
            </w:r>
            <w:r w:rsidRPr="00747584">
              <w:t xml:space="preserve"> </w:t>
            </w:r>
            <w:r w:rsidR="000F288B">
              <w:t xml:space="preserve">occasional </w:t>
            </w:r>
            <w:r w:rsidRPr="00747584">
              <w:t xml:space="preserve">out of hours </w:t>
            </w:r>
            <w:r w:rsidR="00340A37">
              <w:t xml:space="preserve">events and </w:t>
            </w:r>
            <w:r w:rsidRPr="00747584">
              <w:t>meetings offsite, conference calls with overseas partners)</w:t>
            </w:r>
            <w:r>
              <w:t>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4252"/>
        <w:gridCol w:w="4536"/>
      </w:tblGrid>
      <w:tr w:rsidR="008F506D" w14:paraId="15BF08BA" w14:textId="77777777" w:rsidTr="0050181D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BF08B6" w14:textId="77777777" w:rsidR="008F506D" w:rsidRPr="00013C10" w:rsidRDefault="008F506D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5BF08B7" w14:textId="77777777" w:rsidR="008F506D" w:rsidRPr="00013C10" w:rsidRDefault="008F506D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5BF08B8" w14:textId="77777777" w:rsidR="008F506D" w:rsidRPr="00013C10" w:rsidRDefault="008F506D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</w:tr>
      <w:tr w:rsidR="008F506D" w14:paraId="15BF08BF" w14:textId="77777777" w:rsidTr="0050181D">
        <w:tc>
          <w:tcPr>
            <w:tcW w:w="1702" w:type="dxa"/>
          </w:tcPr>
          <w:p w14:paraId="15BF08BB" w14:textId="21456655" w:rsidR="008F506D" w:rsidRPr="00FD5B0E" w:rsidRDefault="008F506D" w:rsidP="00321CAA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4252" w:type="dxa"/>
          </w:tcPr>
          <w:p w14:paraId="452E60DD" w14:textId="77777777" w:rsidR="008F506D" w:rsidRPr="00BD5A9E" w:rsidRDefault="008F506D" w:rsidP="00D116BC">
            <w:pPr>
              <w:spacing w:after="90"/>
            </w:pPr>
            <w:r w:rsidRPr="000343C6">
              <w:t xml:space="preserve">PhD or equivalent professional qualifications and experience in </w:t>
            </w:r>
            <w:r>
              <w:t xml:space="preserve">electronics, </w:t>
            </w:r>
            <w:r w:rsidRPr="00BD5A9E">
              <w:t xml:space="preserve">computer science or relevant tech discipline </w:t>
            </w:r>
          </w:p>
          <w:p w14:paraId="27C5F4BA" w14:textId="17C87A04" w:rsidR="008F506D" w:rsidRPr="00BD5A9E" w:rsidRDefault="008F506D" w:rsidP="00D116BC">
            <w:pPr>
              <w:spacing w:after="90"/>
            </w:pPr>
            <w:r w:rsidRPr="00BD5A9E">
              <w:t xml:space="preserve">Knowledge of startups, spinouts or the commercialisation of research. </w:t>
            </w:r>
          </w:p>
          <w:p w14:paraId="1E058126" w14:textId="00FDA8F9" w:rsidR="008F506D" w:rsidRPr="00BD5A9E" w:rsidRDefault="008F506D" w:rsidP="006C5E3F">
            <w:pPr>
              <w:spacing w:after="90"/>
            </w:pPr>
            <w:r w:rsidRPr="00BD5A9E">
              <w:t>Extensive track record of enterprise activities.</w:t>
            </w:r>
          </w:p>
          <w:p w14:paraId="7968B3E6" w14:textId="77777777" w:rsidR="008F506D" w:rsidRDefault="008F506D" w:rsidP="000343C6">
            <w:pPr>
              <w:spacing w:after="90"/>
            </w:pPr>
            <w:r w:rsidRPr="00BD5A9E">
              <w:t>Significant track record of achievement in securing grant funding</w:t>
            </w:r>
          </w:p>
          <w:p w14:paraId="416C1F1E" w14:textId="77777777" w:rsidR="008F506D" w:rsidRDefault="008F506D" w:rsidP="000343C6">
            <w:pPr>
              <w:spacing w:after="90"/>
            </w:pPr>
            <w:r w:rsidRPr="00F04D91">
              <w:t>Ability to cultivate strong networks and build links with the wider community and with business, industry and other stakeholders and represent the University nationally</w:t>
            </w:r>
            <w:r>
              <w:t>.</w:t>
            </w:r>
          </w:p>
          <w:p w14:paraId="15BF08BC" w14:textId="1F58E884" w:rsidR="008F506D" w:rsidRDefault="008F506D" w:rsidP="000343C6">
            <w:pPr>
              <w:spacing w:after="90"/>
            </w:pPr>
          </w:p>
        </w:tc>
        <w:tc>
          <w:tcPr>
            <w:tcW w:w="4536" w:type="dxa"/>
          </w:tcPr>
          <w:p w14:paraId="34B21D97" w14:textId="73DFF137" w:rsidR="008F506D" w:rsidRDefault="008F506D" w:rsidP="00D116BC">
            <w:pPr>
              <w:spacing w:after="90"/>
            </w:pPr>
            <w:r>
              <w:t>Membership of relevant professional bodies.</w:t>
            </w:r>
          </w:p>
          <w:p w14:paraId="7E16B764" w14:textId="351E8AA9" w:rsidR="008F506D" w:rsidRDefault="008F506D" w:rsidP="00F707D2">
            <w:pPr>
              <w:spacing w:after="90"/>
            </w:pPr>
            <w:r>
              <w:t>Experience of launching or working in a startup or University spinout or experience of managing activity to support startups or spinouts</w:t>
            </w:r>
          </w:p>
          <w:p w14:paraId="388723FE" w14:textId="6216F875" w:rsidR="008F506D" w:rsidRDefault="008F506D" w:rsidP="00F707D2">
            <w:pPr>
              <w:spacing w:after="90"/>
            </w:pPr>
            <w:r w:rsidRPr="00222DE0">
              <w:t>Knowledge and awareness of sector strategies and developments and the strategies of the funding bodies</w:t>
            </w:r>
          </w:p>
          <w:p w14:paraId="0E75E193" w14:textId="3A0506F5" w:rsidR="008F506D" w:rsidRDefault="008F506D" w:rsidP="00F707D2">
            <w:pPr>
              <w:spacing w:after="90"/>
            </w:pPr>
            <w:r w:rsidRPr="00735078">
              <w:t>Knowledge and experience of governance procedures, within a Higher Education institution and across regulatory boards</w:t>
            </w:r>
          </w:p>
          <w:p w14:paraId="15BF08BD" w14:textId="0160F317" w:rsidR="008F506D" w:rsidRDefault="008F506D" w:rsidP="000343C6">
            <w:pPr>
              <w:spacing w:after="90"/>
            </w:pPr>
          </w:p>
        </w:tc>
      </w:tr>
      <w:tr w:rsidR="008F506D" w14:paraId="15BF08C4" w14:textId="77777777" w:rsidTr="0050181D">
        <w:tc>
          <w:tcPr>
            <w:tcW w:w="1702" w:type="dxa"/>
          </w:tcPr>
          <w:p w14:paraId="15BF08C0" w14:textId="336690D4" w:rsidR="008F506D" w:rsidRPr="00FD5B0E" w:rsidRDefault="008F506D" w:rsidP="00746AEB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4252" w:type="dxa"/>
          </w:tcPr>
          <w:p w14:paraId="24CE3F85" w14:textId="0378AE12" w:rsidR="008F506D" w:rsidRDefault="008F506D" w:rsidP="006C5E3F">
            <w:pPr>
              <w:spacing w:after="90"/>
            </w:pPr>
            <w:r>
              <w:t>Proven ability to plan and shape the direction of an area of enterprise activity with substantial impact on finance and/or reputation of the University</w:t>
            </w:r>
          </w:p>
          <w:p w14:paraId="7E7CF671" w14:textId="6C6896F8" w:rsidR="008F506D" w:rsidRDefault="008F506D" w:rsidP="006C5E3F">
            <w:pPr>
              <w:spacing w:after="90"/>
            </w:pPr>
            <w:r>
              <w:t>Proven ability to lead major activities, developing partnerships and attracting significant funding</w:t>
            </w:r>
          </w:p>
          <w:p w14:paraId="0231481B" w14:textId="704BD05C" w:rsidR="008F506D" w:rsidRDefault="008F506D" w:rsidP="006C5E3F">
            <w:pPr>
              <w:spacing w:after="90"/>
            </w:pPr>
            <w:r>
              <w:t>Proven ability to build project teams</w:t>
            </w:r>
          </w:p>
          <w:p w14:paraId="15BF08C1" w14:textId="5B94DBB7" w:rsidR="008F506D" w:rsidRDefault="008F506D" w:rsidP="006C5E3F">
            <w:pPr>
              <w:spacing w:after="90"/>
            </w:pPr>
            <w:r>
              <w:t>Able to contribute to the development of policy within the School/Department</w:t>
            </w:r>
          </w:p>
        </w:tc>
        <w:tc>
          <w:tcPr>
            <w:tcW w:w="4536" w:type="dxa"/>
          </w:tcPr>
          <w:p w14:paraId="15BF08C2" w14:textId="75D1989A" w:rsidR="008F506D" w:rsidRDefault="008F506D" w:rsidP="00343D93">
            <w:pPr>
              <w:spacing w:after="90"/>
            </w:pPr>
          </w:p>
        </w:tc>
      </w:tr>
      <w:tr w:rsidR="008F506D" w14:paraId="15BF08C9" w14:textId="77777777" w:rsidTr="0050181D">
        <w:tc>
          <w:tcPr>
            <w:tcW w:w="1702" w:type="dxa"/>
          </w:tcPr>
          <w:p w14:paraId="15BF08C5" w14:textId="1EC20CD1" w:rsidR="008F506D" w:rsidRPr="00FD5B0E" w:rsidRDefault="008F506D" w:rsidP="00321CAA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4252" w:type="dxa"/>
          </w:tcPr>
          <w:p w14:paraId="15BF08C6" w14:textId="1D27B764" w:rsidR="008F506D" w:rsidRDefault="008F506D" w:rsidP="00D116BC">
            <w:pPr>
              <w:spacing w:after="90"/>
            </w:pPr>
            <w:r w:rsidRPr="000343C6">
              <w:t>Able to develop significant new concepts and original ideas within own field in response to intractable issues of importance to the</w:t>
            </w:r>
            <w:r>
              <w:t xml:space="preserve"> enterprise </w:t>
            </w:r>
            <w:r w:rsidRPr="000343C6">
              <w:t>area</w:t>
            </w:r>
          </w:p>
        </w:tc>
        <w:tc>
          <w:tcPr>
            <w:tcW w:w="4536" w:type="dxa"/>
          </w:tcPr>
          <w:p w14:paraId="15BF08C7" w14:textId="77777777" w:rsidR="008F506D" w:rsidRDefault="008F506D" w:rsidP="00343D93">
            <w:pPr>
              <w:spacing w:after="90"/>
            </w:pPr>
          </w:p>
        </w:tc>
      </w:tr>
      <w:tr w:rsidR="008F506D" w14:paraId="15BF08CE" w14:textId="77777777" w:rsidTr="0050181D">
        <w:tc>
          <w:tcPr>
            <w:tcW w:w="1702" w:type="dxa"/>
          </w:tcPr>
          <w:p w14:paraId="15BF08CA" w14:textId="63F21CD8" w:rsidR="008F506D" w:rsidRPr="00FD5B0E" w:rsidRDefault="008F506D" w:rsidP="00321CAA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4252" w:type="dxa"/>
          </w:tcPr>
          <w:p w14:paraId="282366CE" w14:textId="7DD153CE" w:rsidR="008F506D" w:rsidRDefault="008F506D" w:rsidP="006C5E3F">
            <w:pPr>
              <w:spacing w:after="90"/>
            </w:pPr>
            <w:r>
              <w:t>Able to mentor, manage, motivate and coordinate enterprise team, delegating effectively.  Able to resolve performance issues and formulate staff development plans, where appropriate, to ensure team aims are met</w:t>
            </w:r>
          </w:p>
          <w:p w14:paraId="344710FE" w14:textId="51162025" w:rsidR="008F506D" w:rsidRDefault="008F506D" w:rsidP="000343C6">
            <w:pPr>
              <w:spacing w:after="90"/>
            </w:pPr>
            <w:r>
              <w:t>Able to foster and develop good relationships between own School/Department and the rest of the University.  Able to work proactively with senior colleagues to develop cross-School/Department and institution cooperation and effectiveness</w:t>
            </w:r>
          </w:p>
          <w:p w14:paraId="79C5EBCC" w14:textId="77777777" w:rsidR="008F506D" w:rsidRDefault="008F506D" w:rsidP="000343C6">
            <w:pPr>
              <w:spacing w:after="90"/>
            </w:pPr>
            <w:r>
              <w:t>Able to monitor and manage resources and budgets</w:t>
            </w:r>
          </w:p>
          <w:p w14:paraId="15BF08CB" w14:textId="7EBA3B9F" w:rsidR="008F506D" w:rsidRDefault="008F506D" w:rsidP="000343C6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4536" w:type="dxa"/>
          </w:tcPr>
          <w:p w14:paraId="15BF08CC" w14:textId="5C42DEBC" w:rsidR="008F506D" w:rsidRDefault="008F506D" w:rsidP="00343D93">
            <w:pPr>
              <w:spacing w:after="90"/>
            </w:pPr>
          </w:p>
        </w:tc>
      </w:tr>
      <w:tr w:rsidR="008F506D" w14:paraId="15BF08D3" w14:textId="77777777" w:rsidTr="0050181D">
        <w:tc>
          <w:tcPr>
            <w:tcW w:w="1702" w:type="dxa"/>
          </w:tcPr>
          <w:p w14:paraId="15BF08CF" w14:textId="4DC37F06" w:rsidR="008F506D" w:rsidRPr="00FD5B0E" w:rsidRDefault="008F506D" w:rsidP="00321CAA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4252" w:type="dxa"/>
          </w:tcPr>
          <w:p w14:paraId="0B223555" w14:textId="15C795F7" w:rsidR="008F506D" w:rsidRDefault="008F506D" w:rsidP="000343C6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41F7F89F" w14:textId="775FF53E" w:rsidR="008F506D" w:rsidRDefault="008F506D" w:rsidP="006C5E3F">
            <w:pPr>
              <w:spacing w:after="90"/>
            </w:pPr>
            <w:r>
              <w:t>Extensive track record of presenting results at group meetings and with enterprise stakeholders and/or funding bodies</w:t>
            </w:r>
          </w:p>
          <w:p w14:paraId="4EF1567D" w14:textId="7C33ED37" w:rsidR="008F506D" w:rsidRDefault="008F506D" w:rsidP="000343C6">
            <w:pPr>
              <w:spacing w:after="90"/>
            </w:pPr>
            <w:r>
              <w:t xml:space="preserve">Able to persuade and influence at all levels in order to foster and maintain relationships, resolving tensions/difficulties as they arise </w:t>
            </w:r>
          </w:p>
          <w:p w14:paraId="76F8B7CF" w14:textId="6F2047E5" w:rsidR="008F506D" w:rsidRDefault="008F506D" w:rsidP="000343C6">
            <w:pPr>
              <w:spacing w:after="90"/>
            </w:pPr>
            <w:r>
              <w:lastRenderedPageBreak/>
              <w:t>Able to provide expert guidance and to colleagues in own team, other work areas and institutions to develop understanding and resolve complex problems</w:t>
            </w:r>
          </w:p>
          <w:p w14:paraId="11973F7C" w14:textId="57263C65" w:rsidR="008F506D" w:rsidRDefault="008F506D" w:rsidP="000343C6">
            <w:pPr>
              <w:spacing w:after="90"/>
            </w:pPr>
            <w:r>
              <w:t>Able to negotiate for the School/Department on key issues</w:t>
            </w:r>
          </w:p>
          <w:p w14:paraId="15BF08D0" w14:textId="726B3470" w:rsidR="008F506D" w:rsidRDefault="008F506D" w:rsidP="000343C6">
            <w:pPr>
              <w:spacing w:after="90"/>
            </w:pPr>
            <w:r>
              <w:t>Able to develop and lead key communications strategies</w:t>
            </w:r>
          </w:p>
        </w:tc>
        <w:tc>
          <w:tcPr>
            <w:tcW w:w="4536" w:type="dxa"/>
          </w:tcPr>
          <w:p w14:paraId="15BF08D1" w14:textId="5B13F1BA" w:rsidR="008F506D" w:rsidRDefault="008F506D" w:rsidP="00343D93">
            <w:pPr>
              <w:spacing w:after="90"/>
            </w:pPr>
          </w:p>
        </w:tc>
      </w:tr>
      <w:tr w:rsidR="008F506D" w14:paraId="15BF08D8" w14:textId="77777777" w:rsidTr="0050181D">
        <w:tc>
          <w:tcPr>
            <w:tcW w:w="1702" w:type="dxa"/>
          </w:tcPr>
          <w:p w14:paraId="15BF08D4" w14:textId="1D948B14" w:rsidR="008F506D" w:rsidRPr="00FD5B0E" w:rsidRDefault="008F506D" w:rsidP="00321CA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4252" w:type="dxa"/>
          </w:tcPr>
          <w:p w14:paraId="15B47F15" w14:textId="591017A2" w:rsidR="008F506D" w:rsidRDefault="008F506D" w:rsidP="000343C6">
            <w:pPr>
              <w:spacing w:after="90"/>
            </w:pPr>
            <w:r>
              <w:t>Compliance with relevant Health &amp; Safety issues</w:t>
            </w:r>
          </w:p>
          <w:p w14:paraId="35C3F69E" w14:textId="3DDF71B5" w:rsidR="008F506D" w:rsidRDefault="008F506D" w:rsidP="006F26F0">
            <w:pPr>
              <w:spacing w:after="90"/>
            </w:pPr>
            <w:r>
              <w:rPr>
                <w:u w:val="single"/>
              </w:rPr>
              <w:t>U</w:t>
            </w:r>
            <w:r>
              <w:t>nderstanding of Equality, Diversity and Inclusion matters as they apply to this role and areas and to lead on addressing issues identified.</w:t>
            </w:r>
          </w:p>
          <w:p w14:paraId="15BF08D5" w14:textId="3ABF3ADD" w:rsidR="008F506D" w:rsidRDefault="008F506D" w:rsidP="00CB6FD0">
            <w:pPr>
              <w:spacing w:after="90"/>
            </w:pPr>
            <w:r>
              <w:t>Ability to demonstrate alignment with the University’s core values in all areas of work, and champion those behaviours.</w:t>
            </w:r>
          </w:p>
        </w:tc>
        <w:tc>
          <w:tcPr>
            <w:tcW w:w="4536" w:type="dxa"/>
          </w:tcPr>
          <w:p w14:paraId="15BF08D6" w14:textId="77777777" w:rsidR="008F506D" w:rsidRDefault="008F506D" w:rsidP="00343D93">
            <w:pPr>
              <w:spacing w:after="90"/>
            </w:pPr>
          </w:p>
        </w:tc>
      </w:tr>
      <w:tr w:rsidR="008F506D" w14:paraId="15BF08DD" w14:textId="77777777" w:rsidTr="0050181D">
        <w:tc>
          <w:tcPr>
            <w:tcW w:w="1702" w:type="dxa"/>
          </w:tcPr>
          <w:p w14:paraId="15BF08D9" w14:textId="77777777" w:rsidR="008F506D" w:rsidRPr="00FD5B0E" w:rsidRDefault="008F506D" w:rsidP="00321CAA">
            <w:r w:rsidRPr="00FD5B0E">
              <w:t>Special requirements</w:t>
            </w:r>
          </w:p>
        </w:tc>
        <w:tc>
          <w:tcPr>
            <w:tcW w:w="4252" w:type="dxa"/>
          </w:tcPr>
          <w:p w14:paraId="15BF08DA" w14:textId="32F2C349" w:rsidR="008F506D" w:rsidRDefault="008F506D" w:rsidP="006C5E3F">
            <w:pPr>
              <w:spacing w:after="90"/>
            </w:pPr>
            <w:r w:rsidRPr="000343C6">
              <w:t xml:space="preserve">Able to attend national and international conferences </w:t>
            </w:r>
          </w:p>
        </w:tc>
        <w:tc>
          <w:tcPr>
            <w:tcW w:w="4536" w:type="dxa"/>
          </w:tcPr>
          <w:p w14:paraId="15BF08DB" w14:textId="77777777" w:rsidR="008F506D" w:rsidRDefault="008F506D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CC3E3C6" w:rsidR="00D3349E" w:rsidRDefault="005162DE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5162DE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03E78B9" w:rsidR="00062768" w:rsidRDefault="009E1709" w:rsidP="006C5E3F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2B1370">
      <w:t>6</w:t>
    </w:r>
    <w:r w:rsidR="00746AEB">
      <w:t xml:space="preserve"> – </w:t>
    </w:r>
    <w:r w:rsidR="006C5E3F">
      <w:t>Enterprise</w:t>
    </w:r>
    <w:r w:rsidR="00746AEB">
      <w:t xml:space="preserve"> Pathway – </w:t>
    </w:r>
    <w:r w:rsidR="002B1370">
      <w:t>Principal</w:t>
    </w:r>
    <w:r w:rsidR="00D32BE7">
      <w:t xml:space="preserve"> </w:t>
    </w:r>
    <w:r w:rsidR="006C5E3F">
      <w:t xml:space="preserve">Enterprise </w:t>
    </w:r>
    <w:r w:rsidR="00D116BC">
      <w:t>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8775E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1"/>
    </w:tblGrid>
    <w:tr w:rsidR="00062768" w14:paraId="15BF0981" w14:textId="77777777" w:rsidTr="00D644CC">
      <w:trPr>
        <w:trHeight w:hRule="exact" w:val="84"/>
      </w:trPr>
      <w:tc>
        <w:tcPr>
          <w:tcW w:w="9661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D644CC">
      <w:trPr>
        <w:trHeight w:val="441"/>
      </w:trPr>
      <w:tc>
        <w:tcPr>
          <w:tcW w:w="9661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5EE0F02" w:rsidR="0005274A" w:rsidRPr="0005274A" w:rsidRDefault="00F84583" w:rsidP="00D644CC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52F8E"/>
    <w:multiLevelType w:val="hybridMultilevel"/>
    <w:tmpl w:val="26D8A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09A0573"/>
    <w:multiLevelType w:val="hybridMultilevel"/>
    <w:tmpl w:val="FDE27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15846945">
    <w:abstractNumId w:val="19"/>
  </w:num>
  <w:num w:numId="2" w16cid:durableId="896862292">
    <w:abstractNumId w:val="0"/>
  </w:num>
  <w:num w:numId="3" w16cid:durableId="63140970">
    <w:abstractNumId w:val="14"/>
  </w:num>
  <w:num w:numId="4" w16cid:durableId="1193180328">
    <w:abstractNumId w:val="9"/>
  </w:num>
  <w:num w:numId="5" w16cid:durableId="279000519">
    <w:abstractNumId w:val="10"/>
  </w:num>
  <w:num w:numId="6" w16cid:durableId="737747952">
    <w:abstractNumId w:val="7"/>
  </w:num>
  <w:num w:numId="7" w16cid:durableId="1801151279">
    <w:abstractNumId w:val="3"/>
  </w:num>
  <w:num w:numId="8" w16cid:durableId="922832296">
    <w:abstractNumId w:val="5"/>
  </w:num>
  <w:num w:numId="9" w16cid:durableId="1549293304">
    <w:abstractNumId w:val="1"/>
  </w:num>
  <w:num w:numId="10" w16cid:durableId="56050547">
    <w:abstractNumId w:val="8"/>
  </w:num>
  <w:num w:numId="11" w16cid:durableId="1209801642">
    <w:abstractNumId w:val="4"/>
  </w:num>
  <w:num w:numId="12" w16cid:durableId="590241831">
    <w:abstractNumId w:val="15"/>
  </w:num>
  <w:num w:numId="13" w16cid:durableId="917398571">
    <w:abstractNumId w:val="16"/>
  </w:num>
  <w:num w:numId="14" w16cid:durableId="829521790">
    <w:abstractNumId w:val="6"/>
  </w:num>
  <w:num w:numId="15" w16cid:durableId="627130024">
    <w:abstractNumId w:val="2"/>
  </w:num>
  <w:num w:numId="16" w16cid:durableId="1200506937">
    <w:abstractNumId w:val="12"/>
  </w:num>
  <w:num w:numId="17" w16cid:durableId="1408334644">
    <w:abstractNumId w:val="13"/>
  </w:num>
  <w:num w:numId="18" w16cid:durableId="320349158">
    <w:abstractNumId w:val="18"/>
  </w:num>
  <w:num w:numId="19" w16cid:durableId="241069912">
    <w:abstractNumId w:val="11"/>
  </w:num>
  <w:num w:numId="20" w16cid:durableId="83029116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1BEE"/>
    <w:rsid w:val="00013C10"/>
    <w:rsid w:val="00015087"/>
    <w:rsid w:val="0002349E"/>
    <w:rsid w:val="000343C6"/>
    <w:rsid w:val="0005274A"/>
    <w:rsid w:val="00062768"/>
    <w:rsid w:val="000628E2"/>
    <w:rsid w:val="00063081"/>
    <w:rsid w:val="00071653"/>
    <w:rsid w:val="000824F4"/>
    <w:rsid w:val="000978E8"/>
    <w:rsid w:val="000A2338"/>
    <w:rsid w:val="000B1DED"/>
    <w:rsid w:val="000B4E5A"/>
    <w:rsid w:val="000F288B"/>
    <w:rsid w:val="001054C3"/>
    <w:rsid w:val="0012209D"/>
    <w:rsid w:val="0013656B"/>
    <w:rsid w:val="001532E2"/>
    <w:rsid w:val="00156F2F"/>
    <w:rsid w:val="00157218"/>
    <w:rsid w:val="00171BFA"/>
    <w:rsid w:val="00171F75"/>
    <w:rsid w:val="0018144C"/>
    <w:rsid w:val="00182504"/>
    <w:rsid w:val="001840EA"/>
    <w:rsid w:val="00185A47"/>
    <w:rsid w:val="001A3043"/>
    <w:rsid w:val="001A666B"/>
    <w:rsid w:val="001B4120"/>
    <w:rsid w:val="001B6986"/>
    <w:rsid w:val="001C522D"/>
    <w:rsid w:val="001C5C5C"/>
    <w:rsid w:val="001C7D38"/>
    <w:rsid w:val="001D0B37"/>
    <w:rsid w:val="001D5201"/>
    <w:rsid w:val="001E24BE"/>
    <w:rsid w:val="001E285A"/>
    <w:rsid w:val="00205458"/>
    <w:rsid w:val="002064A3"/>
    <w:rsid w:val="0021081B"/>
    <w:rsid w:val="00222DE0"/>
    <w:rsid w:val="00236BFE"/>
    <w:rsid w:val="00241441"/>
    <w:rsid w:val="0024539C"/>
    <w:rsid w:val="00254722"/>
    <w:rsid w:val="002547F5"/>
    <w:rsid w:val="00260333"/>
    <w:rsid w:val="00260B1D"/>
    <w:rsid w:val="00266C6A"/>
    <w:rsid w:val="00272752"/>
    <w:rsid w:val="0028509A"/>
    <w:rsid w:val="0029789A"/>
    <w:rsid w:val="002A70BE"/>
    <w:rsid w:val="002B1370"/>
    <w:rsid w:val="002C50CA"/>
    <w:rsid w:val="002C6198"/>
    <w:rsid w:val="002D4DF4"/>
    <w:rsid w:val="002E262E"/>
    <w:rsid w:val="002E7943"/>
    <w:rsid w:val="003033C5"/>
    <w:rsid w:val="00311450"/>
    <w:rsid w:val="00313CC8"/>
    <w:rsid w:val="003178D9"/>
    <w:rsid w:val="00335B33"/>
    <w:rsid w:val="00340A37"/>
    <w:rsid w:val="0034151E"/>
    <w:rsid w:val="00343D93"/>
    <w:rsid w:val="00364B2C"/>
    <w:rsid w:val="003701F7"/>
    <w:rsid w:val="003728CC"/>
    <w:rsid w:val="003907C1"/>
    <w:rsid w:val="003A2BDA"/>
    <w:rsid w:val="003A7579"/>
    <w:rsid w:val="003B0262"/>
    <w:rsid w:val="003B7540"/>
    <w:rsid w:val="003C460F"/>
    <w:rsid w:val="003E6142"/>
    <w:rsid w:val="00401EAA"/>
    <w:rsid w:val="00407BA2"/>
    <w:rsid w:val="00411A52"/>
    <w:rsid w:val="00415E2A"/>
    <w:rsid w:val="004263FE"/>
    <w:rsid w:val="00463797"/>
    <w:rsid w:val="00474D00"/>
    <w:rsid w:val="00490BB8"/>
    <w:rsid w:val="004B2A50"/>
    <w:rsid w:val="004C0252"/>
    <w:rsid w:val="004C5300"/>
    <w:rsid w:val="004F49E1"/>
    <w:rsid w:val="004F6C88"/>
    <w:rsid w:val="0050181D"/>
    <w:rsid w:val="00506DDF"/>
    <w:rsid w:val="00507896"/>
    <w:rsid w:val="005162DE"/>
    <w:rsid w:val="0051744C"/>
    <w:rsid w:val="00520461"/>
    <w:rsid w:val="00520A29"/>
    <w:rsid w:val="00523B43"/>
    <w:rsid w:val="00524005"/>
    <w:rsid w:val="00541CE0"/>
    <w:rsid w:val="005534E1"/>
    <w:rsid w:val="0057203B"/>
    <w:rsid w:val="00573487"/>
    <w:rsid w:val="00580CBF"/>
    <w:rsid w:val="005907B3"/>
    <w:rsid w:val="005949FA"/>
    <w:rsid w:val="00594FF6"/>
    <w:rsid w:val="005B5C97"/>
    <w:rsid w:val="005D44D1"/>
    <w:rsid w:val="005E43EF"/>
    <w:rsid w:val="005F44C6"/>
    <w:rsid w:val="006236C2"/>
    <w:rsid w:val="00623A16"/>
    <w:rsid w:val="006249FD"/>
    <w:rsid w:val="00651280"/>
    <w:rsid w:val="00680547"/>
    <w:rsid w:val="00681932"/>
    <w:rsid w:val="00683815"/>
    <w:rsid w:val="0068775E"/>
    <w:rsid w:val="00692F30"/>
    <w:rsid w:val="00695D76"/>
    <w:rsid w:val="006A03FB"/>
    <w:rsid w:val="006B1AF6"/>
    <w:rsid w:val="006C4F77"/>
    <w:rsid w:val="006C5E3F"/>
    <w:rsid w:val="006E38E1"/>
    <w:rsid w:val="006F26F0"/>
    <w:rsid w:val="006F44EB"/>
    <w:rsid w:val="00700A58"/>
    <w:rsid w:val="00702D64"/>
    <w:rsid w:val="0070376B"/>
    <w:rsid w:val="00703D02"/>
    <w:rsid w:val="00724821"/>
    <w:rsid w:val="00735078"/>
    <w:rsid w:val="00746AEB"/>
    <w:rsid w:val="00756EB7"/>
    <w:rsid w:val="00756ED7"/>
    <w:rsid w:val="007600BF"/>
    <w:rsid w:val="00761108"/>
    <w:rsid w:val="00772221"/>
    <w:rsid w:val="0079124D"/>
    <w:rsid w:val="0079197B"/>
    <w:rsid w:val="00791A2A"/>
    <w:rsid w:val="007A7278"/>
    <w:rsid w:val="007C22CC"/>
    <w:rsid w:val="007C6FAA"/>
    <w:rsid w:val="007E2D19"/>
    <w:rsid w:val="007F2AEA"/>
    <w:rsid w:val="00813365"/>
    <w:rsid w:val="00813A2C"/>
    <w:rsid w:val="0082020C"/>
    <w:rsid w:val="0082075E"/>
    <w:rsid w:val="00821A12"/>
    <w:rsid w:val="008443D8"/>
    <w:rsid w:val="00854B1E"/>
    <w:rsid w:val="00855B64"/>
    <w:rsid w:val="00856B8A"/>
    <w:rsid w:val="00857E1D"/>
    <w:rsid w:val="00863222"/>
    <w:rsid w:val="00876272"/>
    <w:rsid w:val="008821C2"/>
    <w:rsid w:val="00883499"/>
    <w:rsid w:val="00885FD1"/>
    <w:rsid w:val="008A35C3"/>
    <w:rsid w:val="008B1EF5"/>
    <w:rsid w:val="008B2A8C"/>
    <w:rsid w:val="008B59D6"/>
    <w:rsid w:val="008D52C9"/>
    <w:rsid w:val="008E3D67"/>
    <w:rsid w:val="008F03C7"/>
    <w:rsid w:val="008F506D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E1709"/>
    <w:rsid w:val="009E6378"/>
    <w:rsid w:val="00A021B7"/>
    <w:rsid w:val="00A07667"/>
    <w:rsid w:val="00A131D9"/>
    <w:rsid w:val="00A14888"/>
    <w:rsid w:val="00A23226"/>
    <w:rsid w:val="00A330D7"/>
    <w:rsid w:val="00A34296"/>
    <w:rsid w:val="00A43F55"/>
    <w:rsid w:val="00A521A9"/>
    <w:rsid w:val="00A54003"/>
    <w:rsid w:val="00A66A9E"/>
    <w:rsid w:val="00A925C0"/>
    <w:rsid w:val="00AA3CB5"/>
    <w:rsid w:val="00AB3ACB"/>
    <w:rsid w:val="00AB7BA3"/>
    <w:rsid w:val="00AC02E6"/>
    <w:rsid w:val="00AC2B17"/>
    <w:rsid w:val="00AE1CA0"/>
    <w:rsid w:val="00AE39DC"/>
    <w:rsid w:val="00AE4DC4"/>
    <w:rsid w:val="00AF2F2B"/>
    <w:rsid w:val="00AF4D53"/>
    <w:rsid w:val="00B430BB"/>
    <w:rsid w:val="00B74ECC"/>
    <w:rsid w:val="00B84C12"/>
    <w:rsid w:val="00B93A21"/>
    <w:rsid w:val="00B97A3A"/>
    <w:rsid w:val="00BB4A42"/>
    <w:rsid w:val="00BB7845"/>
    <w:rsid w:val="00BC42F8"/>
    <w:rsid w:val="00BD595E"/>
    <w:rsid w:val="00BD5A9E"/>
    <w:rsid w:val="00BF1CC6"/>
    <w:rsid w:val="00BF29D1"/>
    <w:rsid w:val="00C3225D"/>
    <w:rsid w:val="00C4334F"/>
    <w:rsid w:val="00C616AB"/>
    <w:rsid w:val="00C6227D"/>
    <w:rsid w:val="00C71181"/>
    <w:rsid w:val="00C907D0"/>
    <w:rsid w:val="00CB1F23"/>
    <w:rsid w:val="00CB3F83"/>
    <w:rsid w:val="00CB5DF5"/>
    <w:rsid w:val="00CB6FD0"/>
    <w:rsid w:val="00CC4C34"/>
    <w:rsid w:val="00CD04F0"/>
    <w:rsid w:val="00CD0FDF"/>
    <w:rsid w:val="00CE3A26"/>
    <w:rsid w:val="00CF3872"/>
    <w:rsid w:val="00D054B1"/>
    <w:rsid w:val="00D116BC"/>
    <w:rsid w:val="00D16D9D"/>
    <w:rsid w:val="00D31624"/>
    <w:rsid w:val="00D32996"/>
    <w:rsid w:val="00D32BE7"/>
    <w:rsid w:val="00D3349E"/>
    <w:rsid w:val="00D35211"/>
    <w:rsid w:val="00D356BF"/>
    <w:rsid w:val="00D54AA2"/>
    <w:rsid w:val="00D55315"/>
    <w:rsid w:val="00D5587F"/>
    <w:rsid w:val="00D644CC"/>
    <w:rsid w:val="00D65B56"/>
    <w:rsid w:val="00D66F7C"/>
    <w:rsid w:val="00D67D41"/>
    <w:rsid w:val="00D71AE7"/>
    <w:rsid w:val="00D74563"/>
    <w:rsid w:val="00D8228E"/>
    <w:rsid w:val="00D850FB"/>
    <w:rsid w:val="00DB499D"/>
    <w:rsid w:val="00DD68C7"/>
    <w:rsid w:val="00E16864"/>
    <w:rsid w:val="00E25775"/>
    <w:rsid w:val="00E264FD"/>
    <w:rsid w:val="00E30CBA"/>
    <w:rsid w:val="00E363B8"/>
    <w:rsid w:val="00E51BC1"/>
    <w:rsid w:val="00E52EDF"/>
    <w:rsid w:val="00E558EC"/>
    <w:rsid w:val="00E63AC1"/>
    <w:rsid w:val="00E72008"/>
    <w:rsid w:val="00E75166"/>
    <w:rsid w:val="00E8169B"/>
    <w:rsid w:val="00E92C10"/>
    <w:rsid w:val="00E96015"/>
    <w:rsid w:val="00ED2E52"/>
    <w:rsid w:val="00EF3327"/>
    <w:rsid w:val="00F01B3C"/>
    <w:rsid w:val="00F01EA0"/>
    <w:rsid w:val="00F04D91"/>
    <w:rsid w:val="00F24B5E"/>
    <w:rsid w:val="00F2635B"/>
    <w:rsid w:val="00F37227"/>
    <w:rsid w:val="00F378D2"/>
    <w:rsid w:val="00F40C0D"/>
    <w:rsid w:val="00F45173"/>
    <w:rsid w:val="00F52E34"/>
    <w:rsid w:val="00F57730"/>
    <w:rsid w:val="00F707D2"/>
    <w:rsid w:val="00F73067"/>
    <w:rsid w:val="00F77E67"/>
    <w:rsid w:val="00F84583"/>
    <w:rsid w:val="00F85DED"/>
    <w:rsid w:val="00F90F90"/>
    <w:rsid w:val="00FB7297"/>
    <w:rsid w:val="00FC2ADA"/>
    <w:rsid w:val="00FC4A88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BF29D1"/>
    <w:rPr>
      <w:rFonts w:ascii="Lucida Sans" w:hAnsi="Lucida Sans"/>
      <w:sz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9d45d-6b21-4910-9a31-fc471401db06">
      <Terms xmlns="http://schemas.microsoft.com/office/infopath/2007/PartnerControls"/>
    </lcf76f155ced4ddcb4097134ff3c332f>
    <TaxCatchAll xmlns="721e4fcb-c222-43d2-87e6-fb39a619f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DF57AE62816418803CC531B4EB019" ma:contentTypeVersion="18" ma:contentTypeDescription="Create a new document." ma:contentTypeScope="" ma:versionID="1923841a093a2b2146369e193416d42c">
  <xsd:schema xmlns:xsd="http://www.w3.org/2001/XMLSchema" xmlns:xs="http://www.w3.org/2001/XMLSchema" xmlns:p="http://schemas.microsoft.com/office/2006/metadata/properties" xmlns:ns2="2369d45d-6b21-4910-9a31-fc471401db06" xmlns:ns3="721e4fcb-c222-43d2-87e6-fb39a619f25a" targetNamespace="http://schemas.microsoft.com/office/2006/metadata/properties" ma:root="true" ma:fieldsID="a64242e976c16e4890d0b1d8eef8cc57" ns2:_="" ns3:_="">
    <xsd:import namespace="2369d45d-6b21-4910-9a31-fc471401db06"/>
    <xsd:import namespace="721e4fcb-c222-43d2-87e6-fb39a619f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9d45d-6b21-4910-9a31-fc471401d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e4fcb-c222-43d2-87e6-fb39a619f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dcb7a-b5a3-4b00-a80a-ab2b9efdf72a}" ma:internalName="TaxCatchAll" ma:showField="CatchAllData" ma:web="721e4fcb-c222-43d2-87e6-fb39a619f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C3E72-E2B3-408B-BB81-C3D3B4570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524add4e-2174-41a0-92b3-70c55419a2dd"/>
    <ds:schemaRef ds:uri="61f7eed3-2b11-46f3-9fe7-2a1574a47e4c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369d45d-6b21-4910-9a31-fc471401db06"/>
    <ds:schemaRef ds:uri="721e4fcb-c222-43d2-87e6-fb39a619f25a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C2FBF-0BD6-46DC-8E4D-A90A4198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9d45d-6b21-4910-9a31-fc471401db06"/>
    <ds:schemaRef ds:uri="721e4fcb-c222-43d2-87e6-fb39a619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Enterprise Fellow</vt:lpstr>
    </vt:vector>
  </TitlesOfParts>
  <Company>Southampton University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Enterprise Fellow</dc:title>
  <dc:creator>Newton-Woof K.</dc:creator>
  <cp:keywords>V0.1</cp:keywords>
  <cp:lastModifiedBy>Ben Clark</cp:lastModifiedBy>
  <cp:revision>21</cp:revision>
  <cp:lastPrinted>2008-01-14T17:11:00Z</cp:lastPrinted>
  <dcterms:created xsi:type="dcterms:W3CDTF">2024-09-19T17:06:00Z</dcterms:created>
  <dcterms:modified xsi:type="dcterms:W3CDTF">2024-09-19T17:26:00Z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0x010100D85DF57AE62816418803CC531B4EB019</vt:lpwstr>
  </property>
  <property fmtid="{D5CDD505-2E9C-101B-9397-08002B2CF9AE}" pid="3" name="MediaServiceImageTags">
    <vt:lpwstr/>
  </property>
</Properties>
</file>